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3" w:rsidRPr="006164DC" w:rsidRDefault="00925753">
      <w:pPr>
        <w:pStyle w:val="31"/>
        <w:spacing w:line="240" w:lineRule="auto"/>
      </w:pPr>
      <w:bookmarkStart w:id="0" w:name="_GoBack"/>
      <w:bookmarkEnd w:id="0"/>
    </w:p>
    <w:p w:rsidR="00925753" w:rsidRPr="006164DC" w:rsidRDefault="00925753">
      <w:pPr>
        <w:pStyle w:val="31"/>
        <w:spacing w:line="240" w:lineRule="auto"/>
      </w:pPr>
    </w:p>
    <w:p w:rsidR="006E3395" w:rsidRDefault="00CB2BA7">
      <w:pPr>
        <w:pStyle w:val="31"/>
        <w:spacing w:line="240" w:lineRule="auto"/>
        <w:rPr>
          <w:rFonts w:ascii="Arial Unicode MS" w:hAnsi="Arial Unicode MS" w:cs="Arial Unicode MS"/>
        </w:rPr>
      </w:pPr>
      <w:r>
        <w:t xml:space="preserve">ПРОГРАММА </w:t>
      </w:r>
      <w:proofErr w:type="gramStart"/>
      <w:r>
        <w:t>С</w:t>
      </w:r>
      <w:r w:rsidR="00925753">
        <w:t>Е</w:t>
      </w:r>
      <w:r>
        <w:t>МИ</w:t>
      </w:r>
      <w:r w:rsidR="00925753">
        <w:t>НАРА  06.03.</w:t>
      </w:r>
      <w:r>
        <w:t>201</w:t>
      </w:r>
      <w:proofErr w:type="gramEnd"/>
      <w:r>
        <w:t xml:space="preserve"> 8</w:t>
      </w:r>
    </w:p>
    <w:p w:rsidR="006E3395" w:rsidRDefault="00CB2BA7">
      <w:pPr>
        <w:pStyle w:val="11"/>
        <w:spacing w:before="156" w:after="0"/>
        <w:rPr>
          <w:rFonts w:ascii="Arial Unicode MS" w:hAnsi="Arial Unicode MS" w:cs="Arial Unicode MS"/>
        </w:rPr>
      </w:pPr>
      <w:bookmarkStart w:id="1" w:name="bookmark0"/>
      <w:r>
        <w:t xml:space="preserve">«Защита прав изготовителя, продавца, исполнителя или законные способы сдерживания потребительскою </w:t>
      </w:r>
      <w:r w:rsidR="00925753">
        <w:t>эк</w:t>
      </w:r>
      <w:r>
        <w:t>стреми</w:t>
      </w:r>
      <w:r w:rsidR="00925753">
        <w:t>зма</w:t>
      </w:r>
      <w:r>
        <w:t>»</w:t>
      </w:r>
      <w:bookmarkEnd w:id="1"/>
    </w:p>
    <w:p w:rsidR="006E3395" w:rsidRDefault="00CB2BA7">
      <w:pPr>
        <w:pStyle w:val="111"/>
        <w:numPr>
          <w:ilvl w:val="0"/>
          <w:numId w:val="2"/>
        </w:numPr>
        <w:tabs>
          <w:tab w:val="left" w:pos="650"/>
        </w:tabs>
        <w:spacing w:before="259"/>
        <w:ind w:left="720" w:right="40"/>
      </w:pPr>
      <w:r>
        <w:t xml:space="preserve">Законодательство о защите нрав потребителя: </w:t>
      </w:r>
      <w:r w:rsidR="00980B0E">
        <w:t>ч</w:t>
      </w:r>
      <w:r>
        <w:t>и</w:t>
      </w:r>
      <w:r w:rsidR="00980B0E">
        <w:t>т</w:t>
      </w:r>
      <w:r>
        <w:t xml:space="preserve">аем, применяя к </w:t>
      </w:r>
      <w:r w:rsidR="00980B0E">
        <w:t>пра</w:t>
      </w:r>
      <w:r>
        <w:t xml:space="preserve">вомочиям </w:t>
      </w:r>
      <w:proofErr w:type="gramStart"/>
      <w:r w:rsidR="00980B0E">
        <w:t xml:space="preserve">продавца </w:t>
      </w:r>
      <w:r>
        <w:t xml:space="preserve"> (</w:t>
      </w:r>
      <w:proofErr w:type="gramEnd"/>
      <w:r w:rsidR="00980B0E">
        <w:t>исполнителя, производителя</w:t>
      </w:r>
      <w:r>
        <w:t xml:space="preserve"> )</w:t>
      </w:r>
    </w:p>
    <w:p w:rsidR="006E3395" w:rsidRDefault="00980B0E">
      <w:pPr>
        <w:pStyle w:val="121"/>
        <w:numPr>
          <w:ilvl w:val="1"/>
          <w:numId w:val="2"/>
        </w:numPr>
        <w:tabs>
          <w:tab w:val="left" w:pos="645"/>
        </w:tabs>
        <w:ind w:left="340"/>
      </w:pPr>
      <w:r>
        <w:t>1.1.</w:t>
      </w:r>
      <w:r w:rsidR="00CB2BA7">
        <w:t xml:space="preserve">Терминология закона </w:t>
      </w:r>
      <w:r>
        <w:t xml:space="preserve">и </w:t>
      </w:r>
      <w:r w:rsidR="00CB2BA7">
        <w:t xml:space="preserve"> ее значение для защиты интересов стороны.</w:t>
      </w:r>
    </w:p>
    <w:p w:rsidR="006E3395" w:rsidRDefault="00980B0E">
      <w:pPr>
        <w:pStyle w:val="131"/>
        <w:numPr>
          <w:ilvl w:val="1"/>
          <w:numId w:val="2"/>
        </w:numPr>
        <w:tabs>
          <w:tab w:val="left" w:pos="630"/>
        </w:tabs>
        <w:ind w:left="720" w:right="40"/>
      </w:pPr>
      <w:r>
        <w:t>1.2.</w:t>
      </w:r>
      <w:r w:rsidR="00CB2BA7">
        <w:t>Права и обязанности продавца при продаже товара ненадлежащего качества.</w:t>
      </w:r>
    </w:p>
    <w:p w:rsidR="006E3395" w:rsidRDefault="00980B0E">
      <w:pPr>
        <w:pStyle w:val="131"/>
        <w:numPr>
          <w:ilvl w:val="1"/>
          <w:numId w:val="2"/>
        </w:numPr>
        <w:tabs>
          <w:tab w:val="left" w:pos="645"/>
        </w:tabs>
        <w:ind w:left="660" w:right="40" w:hanging="620"/>
      </w:pPr>
      <w:r>
        <w:t>1.3.</w:t>
      </w:r>
      <w:r w:rsidR="00CB2BA7">
        <w:t>Права и обязанности изготовителя (исполнителя) при выполнении работы, оказании услуги ненадлежащего качества.</w:t>
      </w:r>
    </w:p>
    <w:p w:rsidR="006E3395" w:rsidRDefault="00CB2BA7">
      <w:pPr>
        <w:pStyle w:val="131"/>
        <w:numPr>
          <w:ilvl w:val="0"/>
          <w:numId w:val="2"/>
        </w:numPr>
        <w:tabs>
          <w:tab w:val="left" w:pos="635"/>
        </w:tabs>
        <w:spacing w:before="56" w:line="307" w:lineRule="exact"/>
        <w:ind w:left="720" w:right="40"/>
      </w:pPr>
      <w:r>
        <w:t>Договор как основа о</w:t>
      </w:r>
      <w:r w:rsidR="00AE0A3A">
        <w:t>тношений</w:t>
      </w:r>
      <w:r>
        <w:t xml:space="preserve"> изготовитель (исполнитель)</w:t>
      </w:r>
      <w:r w:rsidR="00AE0A3A">
        <w:t>-</w:t>
      </w:r>
      <w:r>
        <w:t xml:space="preserve"> потребитель. Особенности заключения, проблемные моменты</w:t>
      </w:r>
    </w:p>
    <w:p w:rsidR="006E3395" w:rsidRDefault="00CB2BA7">
      <w:pPr>
        <w:pStyle w:val="141"/>
        <w:numPr>
          <w:ilvl w:val="0"/>
          <w:numId w:val="2"/>
        </w:numPr>
        <w:tabs>
          <w:tab w:val="left" w:pos="669"/>
        </w:tabs>
        <w:spacing w:before="64"/>
        <w:ind w:left="340"/>
      </w:pPr>
      <w:r>
        <w:t>Досудебная стадия разрешения конфликтной ситуации с потребителем.</w:t>
      </w:r>
    </w:p>
    <w:p w:rsidR="006E3395" w:rsidRDefault="00AE0A3A">
      <w:pPr>
        <w:pStyle w:val="131"/>
        <w:numPr>
          <w:ilvl w:val="1"/>
          <w:numId w:val="2"/>
        </w:numPr>
        <w:tabs>
          <w:tab w:val="left" w:pos="664"/>
        </w:tabs>
        <w:ind w:left="660" w:right="40" w:hanging="620"/>
      </w:pPr>
      <w:r>
        <w:t>3.1.</w:t>
      </w:r>
      <w:r w:rsidR="00CB2BA7">
        <w:t>Претензия потребителя: на что может претендовать потребитель при р</w:t>
      </w:r>
      <w:r>
        <w:t>е</w:t>
      </w:r>
      <w:r w:rsidR="00CB2BA7">
        <w:t>альном (или мнимом) нарушении его прав.</w:t>
      </w:r>
    </w:p>
    <w:p w:rsidR="006E3395" w:rsidRDefault="00AE0A3A">
      <w:pPr>
        <w:pStyle w:val="131"/>
        <w:numPr>
          <w:ilvl w:val="1"/>
          <w:numId w:val="2"/>
        </w:numPr>
        <w:tabs>
          <w:tab w:val="left" w:pos="698"/>
        </w:tabs>
        <w:ind w:left="660" w:right="40" w:hanging="620"/>
      </w:pPr>
      <w:r>
        <w:t>3.2.</w:t>
      </w:r>
      <w:r w:rsidR="00CB2BA7">
        <w:t>Чем опасно привлечение к административной ответственности за нарушение прав потребителей.</w:t>
      </w:r>
    </w:p>
    <w:p w:rsidR="006E3395" w:rsidRDefault="00CB2BA7">
      <w:pPr>
        <w:pStyle w:val="141"/>
        <w:numPr>
          <w:ilvl w:val="0"/>
          <w:numId w:val="2"/>
        </w:numPr>
        <w:tabs>
          <w:tab w:val="left" w:pos="664"/>
        </w:tabs>
        <w:ind w:left="340"/>
      </w:pPr>
      <w:r>
        <w:t>Судебная стадия разрешения конфликтной ситуации</w:t>
      </w:r>
    </w:p>
    <w:p w:rsidR="006E3395" w:rsidRDefault="00AE0A3A">
      <w:pPr>
        <w:pStyle w:val="121"/>
        <w:numPr>
          <w:ilvl w:val="1"/>
          <w:numId w:val="2"/>
        </w:numPr>
        <w:tabs>
          <w:tab w:val="left" w:pos="678"/>
        </w:tabs>
        <w:ind w:left="340"/>
      </w:pPr>
      <w:r>
        <w:t>4.1.</w:t>
      </w:r>
      <w:r w:rsidR="00CB2BA7">
        <w:t>Основны</w:t>
      </w:r>
      <w:r>
        <w:t>е правила подготовки к процессу</w:t>
      </w:r>
      <w:r w:rsidR="00CB2BA7">
        <w:t>.</w:t>
      </w:r>
    </w:p>
    <w:p w:rsidR="006E3395" w:rsidRDefault="00AE0A3A">
      <w:pPr>
        <w:pStyle w:val="131"/>
        <w:numPr>
          <w:ilvl w:val="1"/>
          <w:numId w:val="2"/>
        </w:numPr>
        <w:tabs>
          <w:tab w:val="left" w:pos="702"/>
        </w:tabs>
        <w:ind w:left="660" w:right="40" w:hanging="620"/>
      </w:pPr>
      <w:r>
        <w:t>4.2.</w:t>
      </w:r>
      <w:r w:rsidR="00CB2BA7">
        <w:t>Ч</w:t>
      </w:r>
      <w:r w:rsidR="00F129E7">
        <w:t>то</w:t>
      </w:r>
      <w:r>
        <w:t xml:space="preserve"> мож</w:t>
      </w:r>
      <w:r w:rsidR="00F129E7">
        <w:t>но считать доказательствами</w:t>
      </w:r>
      <w:r w:rsidR="00CB2BA7">
        <w:t xml:space="preserve"> в спорах по делам о нарушении прав потребителей.</w:t>
      </w:r>
    </w:p>
    <w:p w:rsidR="006E3395" w:rsidRDefault="00F129E7">
      <w:pPr>
        <w:pStyle w:val="121"/>
        <w:numPr>
          <w:ilvl w:val="1"/>
          <w:numId w:val="2"/>
        </w:numPr>
        <w:tabs>
          <w:tab w:val="left" w:pos="678"/>
        </w:tabs>
        <w:ind w:left="340"/>
      </w:pPr>
      <w:r>
        <w:t>4.3.</w:t>
      </w:r>
      <w:r w:rsidR="00CB2BA7">
        <w:t>Мировое соглашение: что нужно учитывать при его заключении.</w:t>
      </w:r>
    </w:p>
    <w:p w:rsidR="006E3395" w:rsidRDefault="00F129E7">
      <w:pPr>
        <w:pStyle w:val="131"/>
        <w:numPr>
          <w:ilvl w:val="1"/>
          <w:numId w:val="2"/>
        </w:numPr>
        <w:tabs>
          <w:tab w:val="left" w:pos="702"/>
        </w:tabs>
        <w:spacing w:line="307" w:lineRule="exact"/>
        <w:ind w:left="660" w:right="40" w:hanging="620"/>
      </w:pPr>
      <w:r>
        <w:t>4.4.</w:t>
      </w:r>
      <w:r w:rsidR="00CB2BA7">
        <w:t>Что делать, если вынесено решение в пользу потребителя: алгоритм действий на стадии обжалования и исполнительного производства.</w:t>
      </w:r>
    </w:p>
    <w:p w:rsidR="006E3395" w:rsidRDefault="00CB2BA7">
      <w:pPr>
        <w:pStyle w:val="111"/>
        <w:numPr>
          <w:ilvl w:val="0"/>
          <w:numId w:val="2"/>
        </w:numPr>
        <w:tabs>
          <w:tab w:val="left" w:pos="674"/>
        </w:tabs>
        <w:spacing w:before="68" w:line="298" w:lineRule="exact"/>
        <w:ind w:left="660" w:right="40" w:hanging="620"/>
      </w:pPr>
      <w:r>
        <w:t>Практикум: разрешаем реальные спорные ситуации на примере материалов судебной практики.</w:t>
      </w:r>
    </w:p>
    <w:p w:rsidR="006E3395" w:rsidRDefault="00CB2BA7">
      <w:pPr>
        <w:pStyle w:val="141"/>
        <w:numPr>
          <w:ilvl w:val="0"/>
          <w:numId w:val="2"/>
        </w:numPr>
        <w:tabs>
          <w:tab w:val="left" w:pos="669"/>
        </w:tabs>
        <w:spacing w:before="102" w:line="240" w:lineRule="auto"/>
        <w:ind w:left="340"/>
      </w:pPr>
      <w:r>
        <w:t>Ответы на вопросы.</w:t>
      </w:r>
    </w:p>
    <w:p w:rsidR="006E3395" w:rsidRDefault="00F129E7">
      <w:pPr>
        <w:pStyle w:val="21"/>
        <w:spacing w:before="170" w:line="302" w:lineRule="exact"/>
        <w:ind w:left="720"/>
        <w:rPr>
          <w:rFonts w:ascii="Arial Unicode MS" w:hAnsi="Arial Unicode MS" w:cs="Arial Unicode MS"/>
        </w:rPr>
      </w:pPr>
      <w:r>
        <w:t>Семинар ведёт Е.А. Елец</w:t>
      </w:r>
      <w:r w:rsidR="00CB2BA7">
        <w:t>- адвокат, кандидат юридических наук,</w:t>
      </w:r>
    </w:p>
    <w:p w:rsidR="006E3395" w:rsidRDefault="00CB2BA7">
      <w:pPr>
        <w:pStyle w:val="151"/>
        <w:rPr>
          <w:rFonts w:ascii="Arial Unicode MS" w:hAnsi="Arial Unicode MS" w:cs="Arial Unicode MS"/>
        </w:rPr>
      </w:pPr>
      <w:r>
        <w:t>доцент кафедры уголовного права и криминологии Кубанского</w:t>
      </w:r>
    </w:p>
    <w:p w:rsidR="006E3395" w:rsidRDefault="00CB2BA7">
      <w:pPr>
        <w:pStyle w:val="151"/>
        <w:rPr>
          <w:rFonts w:ascii="Arial Unicode MS" w:hAnsi="Arial Unicode MS" w:cs="Arial Unicode MS"/>
        </w:rPr>
      </w:pPr>
      <w:r>
        <w:t>государственного университета, доцент кафедры менеджмента и</w:t>
      </w:r>
    </w:p>
    <w:p w:rsidR="006E3395" w:rsidRDefault="00CB2BA7">
      <w:pPr>
        <w:pStyle w:val="121"/>
        <w:ind w:left="340"/>
        <w:rPr>
          <w:rFonts w:ascii="Arial Unicode MS" w:hAnsi="Arial Unicode MS" w:cs="Arial Unicode MS"/>
        </w:rPr>
      </w:pPr>
      <w:r>
        <w:t xml:space="preserve">маркетинга </w:t>
      </w:r>
      <w:r w:rsidR="00F129E7">
        <w:t>Краснодарского</w:t>
      </w:r>
      <w:r>
        <w:t xml:space="preserve"> реги</w:t>
      </w:r>
      <w:r w:rsidR="00F129E7">
        <w:t xml:space="preserve">онального института агробизнеса. </w:t>
      </w:r>
    </w:p>
    <w:p w:rsidR="006E3395" w:rsidRDefault="00CB2BA7">
      <w:pPr>
        <w:pStyle w:val="141"/>
        <w:spacing w:before="271" w:line="240" w:lineRule="auto"/>
        <w:ind w:left="340"/>
        <w:rPr>
          <w:rFonts w:ascii="Arial Unicode MS" w:hAnsi="Arial Unicode MS" w:cs="Arial Unicode MS"/>
        </w:rPr>
      </w:pPr>
      <w:r>
        <w:t xml:space="preserve"> По окончании семинара каждый участник получит именной сертификат.</w:t>
      </w:r>
    </w:p>
    <w:p w:rsidR="006E3395" w:rsidRDefault="00CB2BA7">
      <w:pPr>
        <w:pStyle w:val="141"/>
        <w:spacing w:before="171" w:line="307" w:lineRule="exact"/>
        <w:ind w:left="340" w:right="40"/>
        <w:rPr>
          <w:rFonts w:ascii="Arial Unicode MS" w:hAnsi="Arial Unicode MS" w:cs="Arial Unicode MS"/>
        </w:rPr>
      </w:pPr>
      <w:r>
        <w:t xml:space="preserve"> Стоимость участия на условиях 100% предоплаты при подаче заявки до: 07 февраля - 7500р., 21 февраля - 8500р.; при отсрочке платежа 10000р.</w:t>
      </w:r>
    </w:p>
    <w:p w:rsidR="006E3395" w:rsidRDefault="00CB2BA7" w:rsidP="00CB2BA7">
      <w:pPr>
        <w:pStyle w:val="141"/>
        <w:tabs>
          <w:tab w:val="left" w:pos="376"/>
        </w:tabs>
        <w:spacing w:before="56" w:line="312" w:lineRule="exact"/>
        <w:ind w:right="40" w:firstLine="0"/>
      </w:pPr>
      <w:r>
        <w:t xml:space="preserve">Заявку направлять на </w:t>
      </w:r>
      <w:proofErr w:type="spellStart"/>
      <w:r>
        <w:rPr>
          <w:rStyle w:val="142"/>
        </w:rPr>
        <w:t>cit</w:t>
      </w:r>
      <w:proofErr w:type="spellEnd"/>
      <w:r w:rsidRPr="00C6495F">
        <w:rPr>
          <w:rStyle w:val="142"/>
          <w:lang w:val="ru-RU"/>
        </w:rPr>
        <w:t>-</w:t>
      </w:r>
      <w:proofErr w:type="spellStart"/>
      <w:r>
        <w:rPr>
          <w:rStyle w:val="142"/>
        </w:rPr>
        <w:t>obuchenie</w:t>
      </w:r>
      <w:proofErr w:type="spellEnd"/>
      <w:r w:rsidRPr="00C6495F">
        <w:rPr>
          <w:rStyle w:val="142"/>
          <w:lang w:val="ru-RU"/>
        </w:rPr>
        <w:t xml:space="preserve"> </w:t>
      </w:r>
      <w:r>
        <w:rPr>
          <w:rStyle w:val="142"/>
          <w:lang w:val="ru-RU" w:eastAsia="ru-RU"/>
        </w:rPr>
        <w:t xml:space="preserve">@ </w:t>
      </w:r>
      <w:proofErr w:type="spellStart"/>
      <w:r>
        <w:rPr>
          <w:rStyle w:val="142"/>
          <w:lang w:eastAsia="ru-RU"/>
        </w:rPr>
        <w:t>k</w:t>
      </w:r>
      <w:r>
        <w:rPr>
          <w:rStyle w:val="142"/>
        </w:rPr>
        <w:t>rasnodar</w:t>
      </w:r>
      <w:proofErr w:type="spellEnd"/>
      <w:r w:rsidRPr="00CB2BA7">
        <w:rPr>
          <w:rStyle w:val="142"/>
          <w:lang w:val="ru-RU"/>
        </w:rPr>
        <w:t>.</w:t>
      </w:r>
      <w:proofErr w:type="spellStart"/>
      <w:r>
        <w:rPr>
          <w:rStyle w:val="142"/>
        </w:rPr>
        <w:t>ru</w:t>
      </w:r>
      <w:proofErr w:type="spellEnd"/>
      <w:r>
        <w:t xml:space="preserve"> до 21.02.2018 в двух форматах: заверенную главным бухгалтером/печатью и в формате </w:t>
      </w:r>
      <w:r>
        <w:rPr>
          <w:lang w:val="en-US" w:eastAsia="en-US"/>
        </w:rPr>
        <w:t>Word</w:t>
      </w:r>
      <w:r w:rsidRPr="00C6495F">
        <w:rPr>
          <w:lang w:eastAsia="en-US"/>
        </w:rPr>
        <w:t>.</w:t>
      </w:r>
    </w:p>
    <w:p w:rsidR="006E3395" w:rsidRDefault="00CB2BA7" w:rsidP="00CB2BA7">
      <w:pPr>
        <w:pStyle w:val="141"/>
        <w:tabs>
          <w:tab w:val="left" w:pos="371"/>
        </w:tabs>
        <w:spacing w:before="87" w:line="240" w:lineRule="auto"/>
        <w:ind w:firstLine="0"/>
      </w:pPr>
      <w:r>
        <w:t xml:space="preserve">Заявка и программа семинара размещены на сайте: </w:t>
      </w:r>
      <w:hyperlink r:id="rId5" w:history="1">
        <w:r>
          <w:rPr>
            <w:rStyle w:val="142"/>
          </w:rPr>
          <w:t>www</w:t>
        </w:r>
        <w:r w:rsidRPr="00C6495F">
          <w:rPr>
            <w:rStyle w:val="142"/>
            <w:lang w:val="ru-RU"/>
          </w:rPr>
          <w:t>.</w:t>
        </w:r>
        <w:proofErr w:type="spellStart"/>
        <w:r>
          <w:rPr>
            <w:rStyle w:val="142"/>
          </w:rPr>
          <w:t>cit</w:t>
        </w:r>
        <w:proofErr w:type="spellEnd"/>
        <w:r w:rsidRPr="00C6495F">
          <w:rPr>
            <w:rStyle w:val="142"/>
            <w:lang w:val="ru-RU"/>
          </w:rPr>
          <w:t>-</w:t>
        </w:r>
        <w:proofErr w:type="spellStart"/>
        <w:r>
          <w:rPr>
            <w:rStyle w:val="142"/>
          </w:rPr>
          <w:t>kuban</w:t>
        </w:r>
        <w:proofErr w:type="spellEnd"/>
        <w:r w:rsidRPr="00C6495F">
          <w:rPr>
            <w:rStyle w:val="142"/>
            <w:lang w:val="ru-RU"/>
          </w:rPr>
          <w:t>.</w:t>
        </w:r>
        <w:proofErr w:type="spellStart"/>
        <w:r>
          <w:rPr>
            <w:rStyle w:val="142"/>
          </w:rPr>
          <w:t>ru</w:t>
        </w:r>
        <w:proofErr w:type="spellEnd"/>
      </w:hyperlink>
      <w:r w:rsidRPr="00C6495F">
        <w:rPr>
          <w:lang w:eastAsia="en-US"/>
        </w:rPr>
        <w:t>.</w:t>
      </w:r>
    </w:p>
    <w:p w:rsidR="006E3395" w:rsidRDefault="00CB2BA7">
      <w:pPr>
        <w:pStyle w:val="31"/>
        <w:spacing w:before="156" w:line="307" w:lineRule="exact"/>
        <w:rPr>
          <w:rFonts w:ascii="Arial Unicode MS" w:hAnsi="Arial Unicode MS" w:cs="Arial Unicode MS"/>
        </w:rPr>
      </w:pPr>
      <w:r>
        <w:t xml:space="preserve"> Мероприятие проводится 06.03.2018 с 9-30 до 16-00 в ГУН К </w:t>
      </w:r>
      <w:proofErr w:type="spellStart"/>
      <w:r>
        <w:t>К</w:t>
      </w:r>
      <w:proofErr w:type="spellEnd"/>
      <w:r>
        <w:t xml:space="preserve"> «ЦИТ» по адресу: город Краснодар, ул. Северная, 490 (БЦ «Кутузовский», 11 этаж).</w:t>
      </w:r>
    </w:p>
    <w:p w:rsidR="00C6495F" w:rsidRDefault="00CB2BA7">
      <w:pPr>
        <w:pStyle w:val="31"/>
        <w:spacing w:before="280" w:line="240" w:lineRule="auto"/>
        <w:rPr>
          <w:rFonts w:ascii="Arial Unicode MS" w:hAnsi="Arial Unicode MS" w:cs="Arial Unicode MS"/>
        </w:rPr>
      </w:pPr>
      <w:r>
        <w:t>(861) 298-12-68, 298-12-69, 298-12-70</w:t>
      </w:r>
    </w:p>
    <w:sectPr w:rsidR="00C6495F">
      <w:type w:val="continuous"/>
      <w:pgSz w:w="11905" w:h="16837"/>
      <w:pgMar w:top="1147" w:right="778" w:bottom="413" w:left="1844" w:header="1144" w:footer="41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8802628"/>
    <w:lvl w:ilvl="0" w:tplc="17E86D90">
      <w:numFmt w:val="decimal"/>
      <w:lvlText w:val="%1"/>
      <w:lvlJc w:val="left"/>
      <w:rPr>
        <w:sz w:val="26"/>
        <w:szCs w:val="26"/>
      </w:rPr>
    </w:lvl>
    <w:lvl w:ilvl="1" w:tplc="8E44585A">
      <w:start w:val="1"/>
      <w:numFmt w:val="decimal"/>
      <w:lvlText w:val="%2"/>
      <w:lvlJc w:val="left"/>
      <w:rPr>
        <w:sz w:val="26"/>
        <w:szCs w:val="26"/>
      </w:rPr>
    </w:lvl>
    <w:lvl w:ilvl="2" w:tplc="D85E40E0">
      <w:numFmt w:val="none"/>
      <w:lvlText w:val=""/>
      <w:lvlJc w:val="left"/>
      <w:pPr>
        <w:tabs>
          <w:tab w:val="num" w:pos="360"/>
        </w:tabs>
      </w:pPr>
    </w:lvl>
    <w:lvl w:ilvl="3" w:tplc="50A2D13C">
      <w:numFmt w:val="none"/>
      <w:lvlText w:val=""/>
      <w:lvlJc w:val="left"/>
      <w:pPr>
        <w:tabs>
          <w:tab w:val="num" w:pos="360"/>
        </w:tabs>
      </w:pPr>
    </w:lvl>
    <w:lvl w:ilvl="4" w:tplc="88F82412">
      <w:numFmt w:val="none"/>
      <w:lvlText w:val=""/>
      <w:lvlJc w:val="left"/>
      <w:pPr>
        <w:tabs>
          <w:tab w:val="num" w:pos="360"/>
        </w:tabs>
      </w:pPr>
    </w:lvl>
    <w:lvl w:ilvl="5" w:tplc="3AF88F68">
      <w:numFmt w:val="none"/>
      <w:lvlText w:val=""/>
      <w:lvlJc w:val="left"/>
      <w:pPr>
        <w:tabs>
          <w:tab w:val="num" w:pos="360"/>
        </w:tabs>
      </w:pPr>
    </w:lvl>
    <w:lvl w:ilvl="6" w:tplc="08EC81A6">
      <w:numFmt w:val="none"/>
      <w:lvlText w:val=""/>
      <w:lvlJc w:val="left"/>
      <w:pPr>
        <w:tabs>
          <w:tab w:val="num" w:pos="360"/>
        </w:tabs>
      </w:pPr>
    </w:lvl>
    <w:lvl w:ilvl="7" w:tplc="3E281410">
      <w:numFmt w:val="none"/>
      <w:lvlText w:val=""/>
      <w:lvlJc w:val="left"/>
      <w:pPr>
        <w:tabs>
          <w:tab w:val="num" w:pos="360"/>
        </w:tabs>
      </w:pPr>
    </w:lvl>
    <w:lvl w:ilvl="8" w:tplc="1B96C6B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BF6E552A"/>
    <w:lvl w:ilvl="0" w:tplc="9B1E5DB6">
      <w:start w:val="1"/>
      <w:numFmt w:val="decimal"/>
      <w:lvlText w:val="%1."/>
      <w:lvlJc w:val="left"/>
      <w:rPr>
        <w:sz w:val="26"/>
        <w:szCs w:val="26"/>
      </w:rPr>
    </w:lvl>
    <w:lvl w:ilvl="1" w:tplc="9112C998">
      <w:numFmt w:val="none"/>
      <w:lvlText w:val=""/>
      <w:lvlJc w:val="left"/>
      <w:pPr>
        <w:tabs>
          <w:tab w:val="num" w:pos="360"/>
        </w:tabs>
      </w:pPr>
    </w:lvl>
    <w:lvl w:ilvl="2" w:tplc="62A4998C">
      <w:numFmt w:val="none"/>
      <w:lvlText w:val=""/>
      <w:lvlJc w:val="left"/>
      <w:pPr>
        <w:tabs>
          <w:tab w:val="num" w:pos="360"/>
        </w:tabs>
      </w:pPr>
    </w:lvl>
    <w:lvl w:ilvl="3" w:tplc="078A8452">
      <w:numFmt w:val="none"/>
      <w:lvlText w:val=""/>
      <w:lvlJc w:val="left"/>
      <w:pPr>
        <w:tabs>
          <w:tab w:val="num" w:pos="360"/>
        </w:tabs>
      </w:pPr>
    </w:lvl>
    <w:lvl w:ilvl="4" w:tplc="CADE1BA6">
      <w:numFmt w:val="none"/>
      <w:lvlText w:val=""/>
      <w:lvlJc w:val="left"/>
      <w:pPr>
        <w:tabs>
          <w:tab w:val="num" w:pos="360"/>
        </w:tabs>
      </w:pPr>
    </w:lvl>
    <w:lvl w:ilvl="5" w:tplc="07521D0C">
      <w:numFmt w:val="none"/>
      <w:lvlText w:val=""/>
      <w:lvlJc w:val="left"/>
      <w:pPr>
        <w:tabs>
          <w:tab w:val="num" w:pos="360"/>
        </w:tabs>
      </w:pPr>
    </w:lvl>
    <w:lvl w:ilvl="6" w:tplc="97A2B7E8">
      <w:numFmt w:val="none"/>
      <w:lvlText w:val=""/>
      <w:lvlJc w:val="left"/>
      <w:pPr>
        <w:tabs>
          <w:tab w:val="num" w:pos="360"/>
        </w:tabs>
      </w:pPr>
    </w:lvl>
    <w:lvl w:ilvl="7" w:tplc="F066FF66">
      <w:numFmt w:val="none"/>
      <w:lvlText w:val=""/>
      <w:lvlJc w:val="left"/>
      <w:pPr>
        <w:tabs>
          <w:tab w:val="num" w:pos="360"/>
        </w:tabs>
      </w:pPr>
    </w:lvl>
    <w:lvl w:ilvl="8" w:tplc="84C4EE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&gt;"/>
      <w:lvlJc w:val="left"/>
      <w:rPr>
        <w:sz w:val="26"/>
        <w:szCs w:val="26"/>
      </w:rPr>
    </w:lvl>
    <w:lvl w:ilvl="1" w:tplc="000F4254">
      <w:start w:val="1"/>
      <w:numFmt w:val="bullet"/>
      <w:lvlText w:val="&gt;"/>
      <w:lvlJc w:val="left"/>
      <w:rPr>
        <w:sz w:val="26"/>
        <w:szCs w:val="26"/>
      </w:rPr>
    </w:lvl>
    <w:lvl w:ilvl="2" w:tplc="000F4255">
      <w:start w:val="1"/>
      <w:numFmt w:val="bullet"/>
      <w:lvlText w:val="&gt;"/>
      <w:lvlJc w:val="left"/>
      <w:rPr>
        <w:sz w:val="26"/>
        <w:szCs w:val="26"/>
      </w:rPr>
    </w:lvl>
    <w:lvl w:ilvl="3" w:tplc="000F4256">
      <w:start w:val="1"/>
      <w:numFmt w:val="bullet"/>
      <w:lvlText w:val="&gt;"/>
      <w:lvlJc w:val="left"/>
      <w:rPr>
        <w:sz w:val="26"/>
        <w:szCs w:val="26"/>
      </w:rPr>
    </w:lvl>
    <w:lvl w:ilvl="4" w:tplc="000F4257">
      <w:start w:val="1"/>
      <w:numFmt w:val="bullet"/>
      <w:lvlText w:val="&gt;"/>
      <w:lvlJc w:val="left"/>
      <w:rPr>
        <w:sz w:val="26"/>
        <w:szCs w:val="26"/>
      </w:rPr>
    </w:lvl>
    <w:lvl w:ilvl="5" w:tplc="000F4258">
      <w:start w:val="1"/>
      <w:numFmt w:val="bullet"/>
      <w:lvlText w:val="&gt;"/>
      <w:lvlJc w:val="left"/>
      <w:rPr>
        <w:sz w:val="26"/>
        <w:szCs w:val="26"/>
      </w:rPr>
    </w:lvl>
    <w:lvl w:ilvl="6" w:tplc="000F4259">
      <w:start w:val="1"/>
      <w:numFmt w:val="bullet"/>
      <w:lvlText w:val="&gt;"/>
      <w:lvlJc w:val="left"/>
      <w:rPr>
        <w:sz w:val="26"/>
        <w:szCs w:val="26"/>
      </w:rPr>
    </w:lvl>
    <w:lvl w:ilvl="7" w:tplc="000F425A">
      <w:start w:val="1"/>
      <w:numFmt w:val="bullet"/>
      <w:lvlText w:val="&gt;"/>
      <w:lvlJc w:val="left"/>
      <w:rPr>
        <w:sz w:val="26"/>
        <w:szCs w:val="26"/>
      </w:rPr>
    </w:lvl>
    <w:lvl w:ilvl="8" w:tplc="000F425B">
      <w:start w:val="1"/>
      <w:numFmt w:val="bullet"/>
      <w:lvlText w:val="&gt;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1F"/>
    <w:rsid w:val="006164DC"/>
    <w:rsid w:val="006E3395"/>
    <w:rsid w:val="00925753"/>
    <w:rsid w:val="00980B0E"/>
    <w:rsid w:val="00A3771F"/>
    <w:rsid w:val="00AE0A3A"/>
    <w:rsid w:val="00C6495F"/>
    <w:rsid w:val="00CB2BA7"/>
    <w:rsid w:val="00F1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54129-16B5-4096-B0B7-78BC5DB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-">
    <w:name w:val="Штрих-код"/>
    <w:basedOn w:val="a0"/>
    <w:link w:val="-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86pt">
    <w:name w:val="Основной текст (8) + 6 pt"/>
    <w:basedOn w:val="8"/>
    <w:uiPriority w:val="99"/>
    <w:rPr>
      <w:rFonts w:ascii="Times New Roman" w:hAnsi="Times New Roman" w:cs="Times New Roman"/>
      <w:sz w:val="12"/>
      <w:szCs w:val="12"/>
      <w:lang w:val="en-US" w:eastAsia="en-US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12"/>
      <w:szCs w:val="12"/>
    </w:rPr>
  </w:style>
  <w:style w:type="character" w:customStyle="1" w:styleId="10">
    <w:name w:val="Основной текст (10)"/>
    <w:basedOn w:val="a0"/>
    <w:link w:val="10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00">
    <w:name w:val="Основной текст (10) + Не курсив"/>
    <w:basedOn w:val="10"/>
    <w:uiPriority w:val="99"/>
    <w:rPr>
      <w:rFonts w:ascii="Times New Roman" w:hAnsi="Times New Roman" w:cs="Times New Roman"/>
      <w:i/>
      <w:iCs/>
      <w:sz w:val="26"/>
      <w:szCs w:val="26"/>
      <w:lang w:val="en-US" w:eastAsia="en-US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5">
    <w:name w:val="Основной текст (5)"/>
    <w:basedOn w:val="a0"/>
    <w:link w:val="51"/>
    <w:uiPriority w:val="99"/>
    <w:rPr>
      <w:rFonts w:ascii="Lucida Sans Unicode" w:hAnsi="Lucida Sans Unicode" w:cs="Lucida Sans Unicode"/>
      <w:sz w:val="22"/>
      <w:szCs w:val="22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sz w:val="26"/>
      <w:szCs w:val="26"/>
      <w:u w:val="single"/>
      <w:lang w:val="en-US" w:eastAsia="en-US"/>
    </w:rPr>
  </w:style>
  <w:style w:type="character" w:customStyle="1" w:styleId="6">
    <w:name w:val="Основной текст (6)"/>
    <w:basedOn w:val="a0"/>
    <w:link w:val="61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6TimesNewRoman">
    <w:name w:val="Основной текст (6) + Times New Roman"/>
    <w:aliases w:val="13 pt,Курсив"/>
    <w:basedOn w:val="6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6TimesNewRoman1">
    <w:name w:val="Основной текст (6) + Times New Roman1"/>
    <w:aliases w:val="13 pt1,Курсив1"/>
    <w:basedOn w:val="6"/>
    <w:uiPriority w:val="99"/>
    <w:rPr>
      <w:rFonts w:ascii="Times New Roman" w:hAnsi="Times New Roman" w:cs="Times New Roman"/>
      <w:i/>
      <w:iCs/>
      <w:noProof/>
      <w:sz w:val="26"/>
      <w:szCs w:val="26"/>
      <w:u w:val="single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6"/>
      <w:szCs w:val="26"/>
    </w:rPr>
  </w:style>
  <w:style w:type="character" w:customStyle="1" w:styleId="711pt">
    <w:name w:val="Основной текст (7) + 11 pt"/>
    <w:aliases w:val="Малые прописные"/>
    <w:basedOn w:val="7"/>
    <w:uiPriority w:val="99"/>
    <w:rPr>
      <w:rFonts w:ascii="Times New Roman" w:hAnsi="Times New Roman" w:cs="Times New Roman"/>
      <w:smallCaps/>
      <w:sz w:val="22"/>
      <w:szCs w:val="22"/>
      <w:lang w:val="en-US" w:eastAsia="en-US"/>
    </w:rPr>
  </w:style>
  <w:style w:type="character" w:customStyle="1" w:styleId="7LucidaSansUnicode">
    <w:name w:val="Основной текст (7) + Lucida Sans Unicode"/>
    <w:aliases w:val="11 pt"/>
    <w:basedOn w:val="7"/>
    <w:uiPriority w:val="99"/>
    <w:rPr>
      <w:rFonts w:ascii="Lucida Sans Unicode" w:hAnsi="Lucida Sans Unicode" w:cs="Lucida Sans Unicode"/>
      <w:sz w:val="22"/>
      <w:szCs w:val="2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302" w:lineRule="exact"/>
      <w:ind w:firstLine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sz w:val="22"/>
      <w:szCs w:val="22"/>
    </w:rPr>
  </w:style>
  <w:style w:type="character" w:customStyle="1" w:styleId="LucidaSansUnicode">
    <w:name w:val="Основной текст + Lucida Sans Unicode"/>
    <w:aliases w:val="11 pt1"/>
    <w:uiPriority w:val="99"/>
    <w:rPr>
      <w:rFonts w:ascii="Lucida Sans Unicode" w:hAnsi="Lucida Sans Unicode" w:cs="Lucida Sans Unicode"/>
      <w:sz w:val="22"/>
      <w:szCs w:val="22"/>
      <w:lang w:val="en-US" w:eastAsia="en-US"/>
    </w:rPr>
  </w:style>
  <w:style w:type="character" w:customStyle="1" w:styleId="711pt1">
    <w:name w:val="Основной текст (7) + 11 pt1"/>
    <w:basedOn w:val="7"/>
    <w:uiPriority w:val="99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sz w:val="26"/>
      <w:szCs w:val="26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(12)"/>
    <w:basedOn w:val="a0"/>
    <w:link w:val="12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3">
    <w:name w:val="Основной текст (13)"/>
    <w:basedOn w:val="a0"/>
    <w:link w:val="13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30">
    <w:name w:val="Основной текст (13) + Не курсив"/>
    <w:basedOn w:val="13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6"/>
      <w:szCs w:val="26"/>
    </w:rPr>
  </w:style>
  <w:style w:type="character" w:customStyle="1" w:styleId="120">
    <w:name w:val="Основной текст (12) + Не курсив"/>
    <w:basedOn w:val="12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142">
    <w:name w:val="Основной текст (14)2"/>
    <w:basedOn w:val="14"/>
    <w:uiPriority w:val="99"/>
    <w:rPr>
      <w:rFonts w:ascii="Times New Roman" w:hAnsi="Times New Roman" w:cs="Times New Roman"/>
      <w:sz w:val="26"/>
      <w:szCs w:val="26"/>
      <w:u w:val="single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-1">
    <w:name w:val="Штрих-код1"/>
    <w:basedOn w:val="a"/>
    <w:link w:val="-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110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178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center"/>
    </w:pPr>
    <w:rPr>
      <w:rFonts w:ascii="Lucida Sans Unicode" w:hAnsi="Lucida Sans Unicode" w:cs="Lucida Sans Unicode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413" w:lineRule="exact"/>
      <w:ind w:firstLine="800"/>
    </w:pPr>
    <w:rPr>
      <w:rFonts w:ascii="Lucida Sans Unicode" w:hAnsi="Lucida Sans Unicode" w:cs="Lucida Sans Unicode"/>
      <w:color w:val="auto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before="240" w:line="302" w:lineRule="exact"/>
      <w:ind w:hanging="68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302" w:lineRule="exact"/>
      <w:ind w:hanging="300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302" w:lineRule="exact"/>
      <w:ind w:hanging="680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before="60" w:line="302" w:lineRule="exact"/>
      <w:ind w:hanging="3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302" w:lineRule="exact"/>
      <w:jc w:val="center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4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-kub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1979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Oleg L</cp:lastModifiedBy>
  <cp:revision>2</cp:revision>
  <dcterms:created xsi:type="dcterms:W3CDTF">2018-02-05T08:52:00Z</dcterms:created>
  <dcterms:modified xsi:type="dcterms:W3CDTF">2018-02-05T08:52:00Z</dcterms:modified>
</cp:coreProperties>
</file>